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1275AE6B">
      <w:pPr>
        <w:pStyle w:val="5"/>
        <w:spacing w:before="0" w:beforeAutospacing="0" w:after="0" w:afterAutospacing="0" w:line="36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000000"/>
          <w:sz w:val="28"/>
          <w:szCs w:val="28"/>
        </w:rPr>
        <w:t>注：本文件适用于集团各单位物资采购招标公告，内容依据项目和采购标的物具体情况填报、修改。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租赁机械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挖机租赁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 1批 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2025.10.23</w:t>
      </w:r>
      <w:bookmarkStart w:id="16" w:name="_GoBack"/>
      <w:bookmarkEnd w:id="16"/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2025-156039</w:t>
      </w:r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109262BB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①需方支付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押金（或供方支付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履约保证金），中标单位提供设备/周转材，租期结束，双方办理结算，供方按结算金额开具发票给需方后，需方支付合同总额    %设备租赁款；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②按月结算：甲乙双方于次月10号之前核对上月租赁费用进行对帐签字确认结算金额。甲方收到等额发票后向乙方支付周期内租赁结算金额；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E658CA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697684D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A0A2C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336F98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1B28FA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1793</Words>
  <Characters>2048</Characters>
  <Lines>16</Lines>
  <Paragraphs>4</Paragraphs>
  <TotalTime>43</TotalTime>
  <ScaleCrop>false</ScaleCrop>
  <LinksUpToDate>false</LinksUpToDate>
  <CharactersWithSpaces>2157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2025-10-04T03:27:01Z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8C6CD95CCC7B4A92BCFBB0D839713C71_13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