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6A521">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湖南建工集团有限公司</w:t>
      </w:r>
    </w:p>
    <w:p w14:paraId="63574C50">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岳池县龙湖中学建设项目临建材料</w:t>
      </w:r>
    </w:p>
    <w:p w14:paraId="158E49E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招标采购 结果公告</w:t>
      </w:r>
    </w:p>
    <w:p w14:paraId="503D87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467460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岳池县龙</w:t>
      </w:r>
      <w:bookmarkStart w:id="0" w:name="_GoBack"/>
      <w:bookmarkEnd w:id="0"/>
      <w:r>
        <w:rPr>
          <w:rFonts w:hint="eastAsia" w:ascii="仿宋" w:hAnsi="仿宋" w:eastAsia="仿宋" w:cs="仿宋"/>
          <w:sz w:val="32"/>
          <w:szCs w:val="32"/>
          <w:u w:val="single"/>
          <w:lang w:val="en-US" w:eastAsia="zh-CN"/>
        </w:rPr>
        <w:t>湖中学建设项目</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2026年7月14</w:t>
      </w:r>
      <w:r>
        <w:rPr>
          <w:rFonts w:hint="eastAsia" w:ascii="仿宋" w:hAnsi="仿宋" w:eastAsia="仿宋" w:cs="仿宋"/>
          <w:sz w:val="32"/>
          <w:szCs w:val="32"/>
          <w:u w:val="none"/>
          <w:lang w:val="en-US" w:eastAsia="zh-CN"/>
        </w:rPr>
        <w:t>日进行开标。现将中标结果公告如下：</w:t>
      </w:r>
    </w:p>
    <w:p w14:paraId="4B7F9C69">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32"/>
          <w:szCs w:val="32"/>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仿宋" w:hAnsi="仿宋" w:eastAsia="仿宋" w:cs="仿宋"/>
          <w:b/>
          <w:bCs/>
          <w:sz w:val="32"/>
          <w:szCs w:val="32"/>
          <w:u w:val="single"/>
          <w:lang w:val="en-US" w:eastAsia="zh-CN"/>
        </w:rPr>
        <w:t>临建材料</w:t>
      </w:r>
    </w:p>
    <w:p w14:paraId="3FFFF05C">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公开招标</w:t>
      </w:r>
    </w:p>
    <w:p w14:paraId="29235B00">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7"/>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3706"/>
        <w:gridCol w:w="1236"/>
        <w:gridCol w:w="988"/>
        <w:gridCol w:w="1041"/>
        <w:gridCol w:w="1178"/>
      </w:tblGrid>
      <w:tr w14:paraId="4815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7" w:hRule="atLeast"/>
          <w:jc w:val="center"/>
        </w:trPr>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96C30A">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37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4396DD">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p>
        </w:tc>
        <w:tc>
          <w:tcPr>
            <w:tcW w:w="1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382200">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商务标</w:t>
            </w:r>
          </w:p>
        </w:tc>
        <w:tc>
          <w:tcPr>
            <w:tcW w:w="9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0EB031">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技术标</w:t>
            </w:r>
          </w:p>
        </w:tc>
        <w:tc>
          <w:tcPr>
            <w:tcW w:w="10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FD5400">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总分</w:t>
            </w:r>
          </w:p>
        </w:tc>
        <w:tc>
          <w:tcPr>
            <w:tcW w:w="11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CD86E2">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评标结果</w:t>
            </w:r>
          </w:p>
          <w:p w14:paraId="003DA0DF">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（排序）</w:t>
            </w:r>
          </w:p>
        </w:tc>
      </w:tr>
      <w:tr w14:paraId="45E5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7" w:hRule="atLeast"/>
          <w:jc w:val="center"/>
        </w:trPr>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57A945">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37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800EE5">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重庆兴精典集成房屋有限公司</w:t>
            </w:r>
          </w:p>
        </w:tc>
        <w:tc>
          <w:tcPr>
            <w:tcW w:w="1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4DEFD8">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.00</w:t>
            </w:r>
          </w:p>
        </w:tc>
        <w:tc>
          <w:tcPr>
            <w:tcW w:w="9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F80041">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30</w:t>
            </w:r>
            <w:r>
              <w:rPr>
                <w:rFonts w:hint="eastAsia" w:ascii="仿宋" w:hAnsi="仿宋" w:eastAsia="仿宋" w:cs="仿宋"/>
                <w:color w:val="000000"/>
                <w:sz w:val="24"/>
                <w:szCs w:val="24"/>
              </w:rPr>
              <w:t>.00</w:t>
            </w:r>
          </w:p>
        </w:tc>
        <w:tc>
          <w:tcPr>
            <w:tcW w:w="10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35FCEB">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85</w:t>
            </w:r>
            <w:r>
              <w:rPr>
                <w:rFonts w:hint="eastAsia" w:ascii="仿宋" w:hAnsi="仿宋" w:eastAsia="仿宋" w:cs="仿宋"/>
                <w:color w:val="000000"/>
                <w:sz w:val="24"/>
                <w:szCs w:val="24"/>
              </w:rPr>
              <w:t>.00</w:t>
            </w:r>
          </w:p>
        </w:tc>
        <w:tc>
          <w:tcPr>
            <w:tcW w:w="11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B1E3F5">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3553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7" w:hRule="atLeast"/>
          <w:jc w:val="center"/>
        </w:trPr>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00B056">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7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39A781">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重庆高鼎钢结构有限公司</w:t>
            </w:r>
          </w:p>
        </w:tc>
        <w:tc>
          <w:tcPr>
            <w:tcW w:w="1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8E1F9E">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40.00</w:t>
            </w:r>
          </w:p>
        </w:tc>
        <w:tc>
          <w:tcPr>
            <w:tcW w:w="9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7F078">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30.00</w:t>
            </w:r>
          </w:p>
        </w:tc>
        <w:tc>
          <w:tcPr>
            <w:tcW w:w="10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402533">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70</w:t>
            </w:r>
            <w:r>
              <w:rPr>
                <w:rFonts w:hint="eastAsia" w:ascii="仿宋" w:hAnsi="仿宋" w:eastAsia="仿宋" w:cs="仿宋"/>
                <w:color w:val="000000"/>
                <w:sz w:val="24"/>
                <w:szCs w:val="24"/>
              </w:rPr>
              <w:t>.00</w:t>
            </w:r>
          </w:p>
        </w:tc>
        <w:tc>
          <w:tcPr>
            <w:tcW w:w="11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F26495">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r>
      <w:tr w14:paraId="14BD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7" w:hRule="atLeast"/>
          <w:jc w:val="center"/>
        </w:trPr>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E33027">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37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57F6F5">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重庆繁千建筑材料有限公司</w:t>
            </w:r>
          </w:p>
        </w:tc>
        <w:tc>
          <w:tcPr>
            <w:tcW w:w="1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1783BF">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30.00</w:t>
            </w:r>
          </w:p>
        </w:tc>
        <w:tc>
          <w:tcPr>
            <w:tcW w:w="9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E1013D">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30.00</w:t>
            </w:r>
          </w:p>
        </w:tc>
        <w:tc>
          <w:tcPr>
            <w:tcW w:w="10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A4FEE">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60</w:t>
            </w:r>
            <w:r>
              <w:rPr>
                <w:rFonts w:hint="eastAsia" w:ascii="仿宋" w:hAnsi="仿宋" w:eastAsia="仿宋" w:cs="仿宋"/>
                <w:color w:val="000000"/>
                <w:sz w:val="24"/>
                <w:szCs w:val="24"/>
              </w:rPr>
              <w:t>.00</w:t>
            </w:r>
          </w:p>
        </w:tc>
        <w:tc>
          <w:tcPr>
            <w:tcW w:w="11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B51E6C">
            <w:pPr>
              <w:pStyle w:val="5"/>
              <w:spacing w:beforeLines="0" w:afterLines="0"/>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60B0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0" w:hRule="atLeast"/>
          <w:jc w:val="center"/>
        </w:trPr>
        <w:tc>
          <w:tcPr>
            <w:tcW w:w="8906"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4612DD65">
            <w:pPr>
              <w:pStyle w:val="5"/>
              <w:spacing w:beforeLines="0" w:afterLines="0"/>
              <w:ind w:left="0" w:leftChars="0" w:firstLine="0" w:firstLineChars="0"/>
              <w:rPr>
                <w:rFonts w:hint="eastAsia" w:ascii="仿宋" w:hAnsi="仿宋" w:eastAsia="仿宋" w:cs="仿宋"/>
                <w:color w:val="000000"/>
                <w:sz w:val="22"/>
                <w:szCs w:val="22"/>
              </w:rPr>
            </w:pPr>
            <w:r>
              <w:rPr>
                <w:rFonts w:hint="eastAsia" w:ascii="仿宋" w:hAnsi="仿宋" w:eastAsia="仿宋" w:cs="仿宋"/>
                <w:color w:val="000000"/>
                <w:sz w:val="22"/>
                <w:szCs w:val="22"/>
              </w:rPr>
              <w:t>备注：</w:t>
            </w:r>
          </w:p>
        </w:tc>
      </w:tr>
    </w:tbl>
    <w:p w14:paraId="2F0A794B">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089975CA">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重庆兴精典集成房屋有限公司</w:t>
      </w:r>
    </w:p>
    <w:p w14:paraId="43FDF4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重庆市北部新区金渝大道68号4栋第23层（A371)</w:t>
      </w:r>
    </w:p>
    <w:p w14:paraId="3F9DE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朱岚</w:t>
      </w:r>
    </w:p>
    <w:p w14:paraId="4CC6B5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13896084361</w:t>
      </w:r>
    </w:p>
    <w:p w14:paraId="4F7B1B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503369.20（含税）</w:t>
      </w:r>
    </w:p>
    <w:p w14:paraId="203B02D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u w:val="none"/>
          <w:lang w:val="en-US" w:eastAsia="zh-CN"/>
        </w:rPr>
        <w:t>监督人员：</w:t>
      </w:r>
      <w:r>
        <w:rPr>
          <w:rFonts w:hint="eastAsia" w:ascii="黑体" w:hAnsi="黑体" w:eastAsia="黑体" w:cs="黑体"/>
          <w:b/>
          <w:bCs/>
          <w:sz w:val="32"/>
          <w:szCs w:val="32"/>
          <w:u w:val="single"/>
          <w:lang w:val="en-US" w:eastAsia="zh-CN"/>
        </w:rPr>
        <w:t>满兴书培</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黑体" w:hAnsi="黑体" w:eastAsia="黑体" w:cs="黑体"/>
          <w:b w:val="0"/>
          <w:bCs w:val="0"/>
          <w:sz w:val="32"/>
          <w:szCs w:val="32"/>
          <w:u w:val="single"/>
          <w:lang w:val="en-US" w:eastAsia="zh-CN"/>
        </w:rPr>
        <w:t>13141604142</w:t>
      </w:r>
    </w:p>
    <w:p w14:paraId="009660B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73803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岳池县龙湖中学建设项目项目部</w:t>
      </w:r>
    </w:p>
    <w:p w14:paraId="358C62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满兴书培</w:t>
      </w:r>
    </w:p>
    <w:p w14:paraId="6BB2D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13141604142</w:t>
      </w:r>
    </w:p>
    <w:p w14:paraId="6F32E9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36EE5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27B7A1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w:t>
      </w:r>
    </w:p>
    <w:p w14:paraId="00837113">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湖南建工集团有限公司    </w:t>
      </w:r>
    </w:p>
    <w:p w14:paraId="22E8DA21">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single"/>
          <w:lang w:val="en-US" w:eastAsia="zh-CN" w:bidi="ar-SA"/>
        </w:rPr>
        <w:t>岳池县龙湖中学建设项目</w:t>
      </w:r>
      <w:r>
        <w:rPr>
          <w:rFonts w:hint="eastAsia" w:ascii="仿宋" w:hAnsi="仿宋" w:eastAsia="仿宋" w:cs="仿宋"/>
          <w:kern w:val="2"/>
          <w:sz w:val="32"/>
          <w:szCs w:val="32"/>
          <w:u w:val="none"/>
          <w:lang w:val="en-US" w:eastAsia="zh-CN" w:bidi="ar-SA"/>
        </w:rPr>
        <w:t>项目部</w:t>
      </w:r>
    </w:p>
    <w:p w14:paraId="38558988">
      <w:pPr>
        <w:keepNext w:val="0"/>
        <w:keepLines w:val="0"/>
        <w:pageBreakBefore w:val="0"/>
        <w:kinsoku/>
        <w:wordWrap w:val="0"/>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2026年7月14日      </w:t>
      </w: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A424ED-89E3-45EC-B096-6F06E3B43A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A2AFF9F-A08D-4435-B359-60B10FD78921}"/>
  </w:font>
  <w:font w:name="仿宋">
    <w:panose1 w:val="02010609060101010101"/>
    <w:charset w:val="86"/>
    <w:family w:val="auto"/>
    <w:pitch w:val="default"/>
    <w:sig w:usb0="800002BF" w:usb1="38CF7CFA" w:usb2="00000016" w:usb3="00000000" w:csb0="00040001" w:csb1="00000000"/>
    <w:embedRegular r:id="rId3" w:fontKey="{B450ED7E-4F55-4C07-B20F-99A2E11EFF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AB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00172A27"/>
    <w:rsid w:val="086E1F06"/>
    <w:rsid w:val="10BC6D78"/>
    <w:rsid w:val="1257797F"/>
    <w:rsid w:val="17FD3EBC"/>
    <w:rsid w:val="190E1097"/>
    <w:rsid w:val="1A5E5017"/>
    <w:rsid w:val="1ADF6AB5"/>
    <w:rsid w:val="26D92042"/>
    <w:rsid w:val="27515FF4"/>
    <w:rsid w:val="28784A66"/>
    <w:rsid w:val="2E082761"/>
    <w:rsid w:val="31A32584"/>
    <w:rsid w:val="322D58DE"/>
    <w:rsid w:val="334118E3"/>
    <w:rsid w:val="335C290A"/>
    <w:rsid w:val="39801CE6"/>
    <w:rsid w:val="3D427E86"/>
    <w:rsid w:val="3F480480"/>
    <w:rsid w:val="41622440"/>
    <w:rsid w:val="434075BC"/>
    <w:rsid w:val="461C49C2"/>
    <w:rsid w:val="49A77713"/>
    <w:rsid w:val="4AC779BE"/>
    <w:rsid w:val="4B3F4D0D"/>
    <w:rsid w:val="4E3D0D71"/>
    <w:rsid w:val="4E861663"/>
    <w:rsid w:val="5AD3784B"/>
    <w:rsid w:val="5D9325DA"/>
    <w:rsid w:val="5F065C8C"/>
    <w:rsid w:val="639D4191"/>
    <w:rsid w:val="64EA7E12"/>
    <w:rsid w:val="69E45CEA"/>
    <w:rsid w:val="706E310B"/>
    <w:rsid w:val="719016B6"/>
    <w:rsid w:val="71B92605"/>
    <w:rsid w:val="76612DCA"/>
    <w:rsid w:val="7C576428"/>
    <w:rsid w:val="7E6D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474</Words>
  <Characters>488</Characters>
  <Lines>0</Lines>
  <Paragraphs>0</Paragraphs>
  <TotalTime>10</TotalTime>
  <ScaleCrop>false</ScaleCrop>
  <LinksUpToDate>false</LinksUpToDate>
  <CharactersWithSpaces>750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满兴书培</cp:lastModifiedBy>
  <cp:lastPrinted>2023-10-10T02:15:00Z</cp:lastPrinted>
  <dcterms:modified xsi:type="dcterms:W3CDTF">2026-07-14T08:56:26Z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0644FD7D5EAC439CAB6DFDABBA7754EA_13</vt:lpwstr>
  </property>
  <property fmtid="{D5CDD505-2E9C-101B-9397-08002B2CF9AE}" pid="4" name="KSOTemplateDocerSaveRecord">
    <vt:lpwstr>eyJoZGlkIjoiMjUwZmQ3NGIwNDYyOWQ1NDI0Y2UyMmJiM2YzOWVmOWMiLCJ1c2VySWQiOiIxNjIwOTE2OTc5In0=</vt:lpwstr>
  </property>
</Properties>
</file>