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G309交通疏解专业分包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2026年4月30</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G309交通疏解专业分包招标采购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90"/>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2990"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990" w:type="dxa"/>
            <w:vAlign w:val="center"/>
          </w:tcPr>
          <w:p w14:paraId="303A733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天津创世鸿盛建设工程</w:t>
            </w:r>
          </w:p>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有限责任公司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lang w:val="en-US" w:eastAsia="zh-CN" w:bidi="ar-SA"/>
              </w:rPr>
              <w:t>0.00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70.00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990" w:type="dxa"/>
            <w:vAlign w:val="center"/>
          </w:tcPr>
          <w:p w14:paraId="74B59F4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甘肃东益工程建设</w:t>
            </w:r>
          </w:p>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48.50</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10.00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58.50</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2990" w:type="dxa"/>
            <w:vAlign w:val="center"/>
          </w:tcPr>
          <w:p w14:paraId="18E1A8F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甘肃全榛建设集团</w:t>
            </w:r>
          </w:p>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40.06</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10.00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50.06</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天津创世鸿盛建设工程有限责任公司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天津市武清开发区福源道北侧创业总部基地C08号楼南栋401室23号</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朱涛</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15522556889</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2766805.42元（含税）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2026年4月30日   </w:t>
      </w:r>
      <w:bookmarkStart w:id="0" w:name="_GoBack"/>
      <w:bookmarkEnd w:id="0"/>
      <w:r>
        <w:rPr>
          <w:rFonts w:hint="eastAsia" w:ascii="仿宋" w:hAnsi="仿宋" w:eastAsia="仿宋" w:cs="仿宋"/>
          <w:kern w:val="2"/>
          <w:sz w:val="32"/>
          <w:szCs w:val="32"/>
          <w:u w:val="none"/>
          <w:lang w:val="en-US" w:eastAsia="zh-CN" w:bidi="ar-SA"/>
        </w:rPr>
        <w:t xml:space="preserve">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FB4CF4-6EF9-4B95-92A1-95D94A3DB9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725E3F6-54BB-434E-AA4F-E0D784E0C4EE}"/>
  </w:font>
  <w:font w:name="仿宋">
    <w:panose1 w:val="02010609060101010101"/>
    <w:charset w:val="86"/>
    <w:family w:val="auto"/>
    <w:pitch w:val="default"/>
    <w:sig w:usb0="800002BF" w:usb1="38CF7CFA" w:usb2="00000016" w:usb3="00000000" w:csb0="00040001" w:csb1="00000000"/>
    <w:embedRegular r:id="rId3" w:fontKey="{48D87B76-1622-4269-A651-713C39B25F1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4594F68"/>
    <w:rsid w:val="086E1F06"/>
    <w:rsid w:val="10633AF1"/>
    <w:rsid w:val="10BC6D78"/>
    <w:rsid w:val="123F72E3"/>
    <w:rsid w:val="1257797F"/>
    <w:rsid w:val="17FD3EBC"/>
    <w:rsid w:val="190E1097"/>
    <w:rsid w:val="1A5E5017"/>
    <w:rsid w:val="1ADF6AB5"/>
    <w:rsid w:val="1CFF33DB"/>
    <w:rsid w:val="26D92042"/>
    <w:rsid w:val="27515FF4"/>
    <w:rsid w:val="28784A66"/>
    <w:rsid w:val="2E082761"/>
    <w:rsid w:val="31A32584"/>
    <w:rsid w:val="322D58DE"/>
    <w:rsid w:val="334118E3"/>
    <w:rsid w:val="335C290A"/>
    <w:rsid w:val="39801CE6"/>
    <w:rsid w:val="3D2A4E5D"/>
    <w:rsid w:val="3D427E86"/>
    <w:rsid w:val="3F480480"/>
    <w:rsid w:val="41622440"/>
    <w:rsid w:val="41894F15"/>
    <w:rsid w:val="434075BC"/>
    <w:rsid w:val="43484685"/>
    <w:rsid w:val="461C49C2"/>
    <w:rsid w:val="49A77713"/>
    <w:rsid w:val="4AC779BE"/>
    <w:rsid w:val="4B3F4D0D"/>
    <w:rsid w:val="4E3D0D71"/>
    <w:rsid w:val="4E861663"/>
    <w:rsid w:val="57A42193"/>
    <w:rsid w:val="5AB90C4F"/>
    <w:rsid w:val="5AD3784B"/>
    <w:rsid w:val="5F065C8C"/>
    <w:rsid w:val="639D4191"/>
    <w:rsid w:val="64EA7E12"/>
    <w:rsid w:val="69E45CEA"/>
    <w:rsid w:val="6F6B6EC0"/>
    <w:rsid w:val="706E310B"/>
    <w:rsid w:val="719016B6"/>
    <w:rsid w:val="71B92605"/>
    <w:rsid w:val="76612DCA"/>
    <w:rsid w:val="791C6F78"/>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582</Words>
  <Characters>667</Characters>
  <Lines>0</Lines>
  <Paragraphs>0</Paragraphs>
  <TotalTime>2</TotalTime>
  <ScaleCrop>false</ScaleCrop>
  <LinksUpToDate>false</LinksUpToDate>
  <CharactersWithSpaces>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2026-04-30T06:06:14Z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0644FD7D5EAC439CAB6DFDABBA7754EA_13</vt:lpwstr>
  </property>
  <property fmtid="{D5CDD505-2E9C-101B-9397-08002B2CF9AE}" pid="4" name="KSOTemplateDocerSaveRecord">
    <vt:lpwstr>eyJoZGlkIjoiYzRjNTNhYWYxOTdhOGM4MDZlMDk1MzgxMmJkYzhlN2UiLCJ1c2VySWQiOiIxNjIwOTE2OTc5In0=</vt:lpwstr>
  </property>
</Properties>
</file>