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合杆工程、海绵城市劳务分包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2025年8月8</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合杆工程、海绵城市劳务分包招标采购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邀请招标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p w14:paraId="53F25BA4">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560" w:leftChars="0"/>
        <w:jc w:val="center"/>
        <w:textAlignment w:val="auto"/>
        <w:rPr>
          <w:rFonts w:hint="default" w:ascii="黑体" w:hAnsi="黑体" w:eastAsia="黑体" w:cs="黑体"/>
          <w:b w:val="0"/>
          <w:bCs w:val="0"/>
          <w:sz w:val="32"/>
          <w:szCs w:val="32"/>
          <w:u w:val="none"/>
          <w:lang w:val="en-US" w:eastAsia="zh-CN"/>
        </w:rPr>
      </w:pPr>
      <w:r>
        <w:rPr>
          <w:rFonts w:hint="default" w:ascii="黑体" w:hAnsi="黑体" w:eastAsia="黑体" w:cs="黑体"/>
          <w:b w:val="0"/>
          <w:bCs w:val="0"/>
          <w:sz w:val="28"/>
          <w:szCs w:val="28"/>
          <w:u w:val="none"/>
          <w:lang w:val="en-US" w:eastAsia="zh-CN"/>
        </w:rPr>
        <w:t>标包1:纵一、纵三南</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16"/>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416"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416"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湖南军辉建筑劳务有限公司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29.8</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89.80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416"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四川泰美达建筑劳务有限公司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51.90</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26.6</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78.50</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416"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岳阳市懿曼劳务有限责任公司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45.16</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25.6</w:t>
            </w:r>
            <w:r>
              <w:rPr>
                <w:rFonts w:hint="eastAsia" w:ascii="仿宋" w:hAnsi="仿宋" w:eastAsia="仿宋" w:cs="仿宋"/>
                <w:color w:val="000000"/>
                <w:kern w:val="2"/>
                <w:sz w:val="24"/>
                <w:szCs w:val="24"/>
                <w:lang w:val="en-US" w:eastAsia="zh-CN" w:bidi="ar-SA"/>
              </w:rPr>
              <w:t>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70.76</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73A0AA97">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560" w:leftChars="0"/>
        <w:jc w:val="both"/>
        <w:textAlignment w:val="auto"/>
        <w:rPr>
          <w:rFonts w:hint="eastAsia" w:ascii="仿宋" w:hAnsi="仿宋" w:eastAsia="仿宋" w:cs="仿宋"/>
          <w:sz w:val="32"/>
          <w:szCs w:val="32"/>
          <w:u w:val="single"/>
          <w:lang w:val="en-US" w:eastAsia="zh-CN"/>
        </w:rPr>
      </w:pPr>
    </w:p>
    <w:p w14:paraId="3A2AA723">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560" w:leftChars="0"/>
        <w:jc w:val="center"/>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标包2:纵二、纵三北、纵四</w:t>
      </w:r>
    </w:p>
    <w:tbl>
      <w:tblPr>
        <w:tblStyle w:val="7"/>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629"/>
        <w:gridCol w:w="1065"/>
        <w:gridCol w:w="1075"/>
        <w:gridCol w:w="1020"/>
        <w:gridCol w:w="1350"/>
      </w:tblGrid>
      <w:tr w14:paraId="0070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5C3DE">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77D56">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382B3">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商务标</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3BE8F">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技术标</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52EB8">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总分</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9187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评标结果</w:t>
            </w:r>
          </w:p>
          <w:p w14:paraId="7039DB77">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（排序）</w:t>
            </w:r>
          </w:p>
        </w:tc>
      </w:tr>
      <w:tr w14:paraId="2BFD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CD92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6E831">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庆阳铁诚建筑安装工程有限公司</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10A6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60.00</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8B7BE">
            <w:pPr>
              <w:pStyle w:val="5"/>
              <w:spacing w:beforeLines="0" w:afterLines="0"/>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29.2</w:t>
            </w:r>
            <w:r>
              <w:rPr>
                <w:rFonts w:hint="eastAsia" w:ascii="仿宋" w:hAnsi="仿宋" w:eastAsia="仿宋" w:cs="仿宋"/>
                <w:color w:val="000000"/>
                <w:sz w:val="24"/>
                <w:szCs w:val="24"/>
                <w:lang w:val="en-US" w:eastAsia="zh-CN"/>
              </w:rPr>
              <w:t>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7221A">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89.20</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5BD08">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59DE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2AAB1">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C98EC">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湖南丰慧联创建筑劳务有限公司</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C6563E">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55.22</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31FFA">
            <w:pPr>
              <w:pStyle w:val="5"/>
              <w:spacing w:beforeLines="0" w:afterLines="0"/>
              <w:ind w:left="0" w:leftChars="0" w:firstLine="0" w:firstLineChar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26</w:t>
            </w:r>
            <w:r>
              <w:rPr>
                <w:rFonts w:hint="eastAsia" w:ascii="仿宋" w:hAnsi="仿宋" w:eastAsia="仿宋" w:cs="仿宋"/>
                <w:color w:val="000000"/>
                <w:sz w:val="24"/>
                <w:szCs w:val="24"/>
                <w:lang w:val="en-US" w:eastAsia="zh-CN"/>
              </w:rPr>
              <w:t>.00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94A2C">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81.22</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FB68D">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4100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CB7E4">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A310F">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陕西轩锐鑫建筑工程有限公司</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E374D">
            <w:pPr>
              <w:pStyle w:val="5"/>
              <w:spacing w:beforeLines="0" w:afterLines="0"/>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53.45</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E0110">
            <w:pPr>
              <w:pStyle w:val="5"/>
              <w:spacing w:beforeLines="0" w:afterLines="0"/>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25.4</w:t>
            </w:r>
            <w:r>
              <w:rPr>
                <w:rFonts w:hint="eastAsia" w:ascii="仿宋" w:hAnsi="仿宋" w:eastAsia="仿宋" w:cs="仿宋"/>
                <w:color w:val="000000"/>
                <w:sz w:val="24"/>
                <w:szCs w:val="24"/>
                <w:lang w:val="en-US" w:eastAsia="zh-CN"/>
              </w:rPr>
              <w:t>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5EBD8F">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78.85</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3005F">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141D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0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1AB644E">
            <w:pPr>
              <w:pStyle w:val="5"/>
              <w:spacing w:beforeLines="0" w:afterLines="0"/>
              <w:ind w:left="0" w:leftChars="0" w:firstLine="0" w:firstLineChars="0"/>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4FB1AEBB">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4.1、标包1:纵一、纵三南</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湖南军辉建筑劳务有限公司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湖南省长沙市天心区芙蓉南路一段818号长城华都大厦13008室</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尹康</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18511368298</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1690121.20（含税）</w:t>
      </w:r>
    </w:p>
    <w:p w14:paraId="1C330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p>
    <w:p w14:paraId="12DF2147">
      <w:pPr>
        <w:numPr>
          <w:ilvl w:val="0"/>
          <w:numId w:val="0"/>
        </w:numPr>
        <w:tabs>
          <w:tab w:val="left" w:pos="5813"/>
        </w:tabs>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标包2:纵二、纵三北、纵四</w:t>
      </w:r>
    </w:p>
    <w:p w14:paraId="2B72E8D8">
      <w:pPr>
        <w:numPr>
          <w:ilvl w:val="0"/>
          <w:numId w:val="0"/>
        </w:numPr>
        <w:tabs>
          <w:tab w:val="left" w:pos="5813"/>
        </w:tabs>
        <w:spacing w:beforeLines="0" w:afterLines="0"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中标人名称：</w:t>
      </w:r>
      <w:r>
        <w:rPr>
          <w:rFonts w:hint="eastAsia" w:ascii="仿宋" w:hAnsi="仿宋" w:eastAsia="仿宋" w:cs="仿宋"/>
          <w:sz w:val="32"/>
          <w:szCs w:val="32"/>
          <w:u w:val="single"/>
        </w:rPr>
        <w:t>庆阳铁诚建筑安装工程有限公司</w:t>
      </w:r>
      <w:r>
        <w:rPr>
          <w:rFonts w:hint="eastAsia" w:ascii="仿宋" w:hAnsi="仿宋" w:eastAsia="仿宋" w:cs="仿宋"/>
          <w:sz w:val="32"/>
          <w:szCs w:val="32"/>
          <w:u w:val="single"/>
        </w:rPr>
        <w:tab/>
      </w:r>
    </w:p>
    <w:p w14:paraId="72DD7E30">
      <w:pPr>
        <w:numPr>
          <w:ilvl w:val="0"/>
          <w:numId w:val="0"/>
        </w:numPr>
        <w:spacing w:beforeLines="0" w:afterLines="0" w:line="560" w:lineRule="exact"/>
        <w:ind w:left="1598" w:leftChars="304" w:hanging="960" w:hangingChars="300"/>
        <w:rPr>
          <w:rFonts w:hint="eastAsia" w:ascii="仿宋" w:hAnsi="仿宋" w:eastAsia="仿宋" w:cs="仿宋"/>
          <w:sz w:val="32"/>
          <w:szCs w:val="32"/>
          <w:u w:val="single"/>
        </w:rPr>
      </w:pPr>
      <w:r>
        <w:rPr>
          <w:rFonts w:hint="eastAsia" w:ascii="仿宋" w:hAnsi="仿宋" w:eastAsia="仿宋" w:cs="仿宋"/>
          <w:sz w:val="32"/>
          <w:szCs w:val="32"/>
        </w:rPr>
        <w:t>地址：</w:t>
      </w:r>
      <w:r>
        <w:rPr>
          <w:rFonts w:hint="eastAsia" w:ascii="仿宋" w:hAnsi="仿宋" w:eastAsia="仿宋" w:cs="仿宋"/>
          <w:sz w:val="32"/>
          <w:szCs w:val="32"/>
          <w:u w:val="single"/>
        </w:rPr>
        <w:t>甘肃省庆阳市西峰区长庆大道城中央一期</w:t>
      </w:r>
    </w:p>
    <w:p w14:paraId="7E6DE994">
      <w:pPr>
        <w:numPr>
          <w:ilvl w:val="0"/>
          <w:numId w:val="0"/>
        </w:numPr>
        <w:spacing w:beforeLines="0" w:afterLines="0"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联系人：</w:t>
      </w:r>
      <w:r>
        <w:rPr>
          <w:rFonts w:hint="eastAsia" w:ascii="仿宋" w:hAnsi="仿宋" w:eastAsia="仿宋" w:cs="仿宋"/>
          <w:sz w:val="32"/>
          <w:szCs w:val="32"/>
          <w:u w:val="single"/>
        </w:rPr>
        <w:t>刘聪</w:t>
      </w:r>
    </w:p>
    <w:p w14:paraId="27D58E3A">
      <w:pPr>
        <w:numPr>
          <w:ilvl w:val="0"/>
          <w:numId w:val="0"/>
        </w:numPr>
        <w:spacing w:beforeLines="0" w:afterLines="0" w:line="56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电话：</w:t>
      </w:r>
      <w:r>
        <w:rPr>
          <w:rFonts w:hint="eastAsia" w:ascii="仿宋" w:hAnsi="仿宋" w:eastAsia="仿宋" w:cs="仿宋"/>
          <w:sz w:val="32"/>
          <w:szCs w:val="32"/>
          <w:u w:val="single"/>
        </w:rPr>
        <w:t>13809344519</w:t>
      </w:r>
    </w:p>
    <w:p w14:paraId="09920CD7">
      <w:pPr>
        <w:numPr>
          <w:ilvl w:val="0"/>
          <w:numId w:val="0"/>
        </w:num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成交金额：</w:t>
      </w:r>
      <w:r>
        <w:rPr>
          <w:rFonts w:hint="eastAsia" w:ascii="仿宋" w:hAnsi="仿宋" w:eastAsia="仿宋" w:cs="仿宋"/>
          <w:sz w:val="32"/>
          <w:szCs w:val="32"/>
          <w:u w:val="single"/>
          <w:lang w:val="en-US" w:eastAsia="zh-CN"/>
        </w:rPr>
        <w:t>2170933.80</w:t>
      </w:r>
      <w:r>
        <w:rPr>
          <w:rFonts w:hint="eastAsia" w:ascii="仿宋" w:hAnsi="仿宋" w:eastAsia="仿宋" w:cs="仿宋"/>
          <w:sz w:val="32"/>
          <w:szCs w:val="32"/>
          <w:u w:val="single"/>
        </w:rPr>
        <w:t>（含税）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72FD5454">
      <w:pPr>
        <w:rPr>
          <w:rFonts w:hint="eastAsia" w:ascii="黑体" w:hAnsi="黑体" w:eastAsia="黑体" w:cs="黑体"/>
          <w:sz w:val="32"/>
          <w:szCs w:val="32"/>
          <w:lang w:val="en-US" w:eastAsia="zh-CN"/>
        </w:rPr>
      </w:pPr>
      <w:r>
        <w:rPr>
          <w:rFonts w:hint="eastAsia" w:ascii="黑体" w:hAnsi="黑体" w:eastAsia="黑体" w:cs="黑体"/>
          <w:b w:val="0"/>
          <w:bCs w:val="0"/>
          <w:sz w:val="32"/>
          <w:szCs w:val="32"/>
          <w:u w:val="single"/>
          <w:lang w:val="en-US" w:eastAsia="zh-CN"/>
        </w:rPr>
        <w:br w:type="page"/>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bookmarkStart w:id="0" w:name="_GoBack"/>
      <w:bookmarkEnd w:id="0"/>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2025年8月8日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3C3F26-2DD2-45F1-98AC-19C01E16D8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56937D-3FF6-40FB-9BDE-1EC6B7E42AC5}"/>
  </w:font>
  <w:font w:name="方正小标宋简体">
    <w:panose1 w:val="02000000000000000000"/>
    <w:charset w:val="86"/>
    <w:family w:val="auto"/>
    <w:pitch w:val="default"/>
    <w:sig w:usb0="00000001" w:usb1="08000000" w:usb2="00000000" w:usb3="00000000" w:csb0="00040000" w:csb1="00000000"/>
    <w:embedRegular r:id="rId3" w:fontKey="{35CBD7FF-92CC-4A49-BB65-9283881F0A5C}"/>
  </w:font>
  <w:font w:name="仿宋">
    <w:panose1 w:val="02010609060101010101"/>
    <w:charset w:val="86"/>
    <w:family w:val="auto"/>
    <w:pitch w:val="default"/>
    <w:sig w:usb0="800002BF" w:usb1="38CF7CFA" w:usb2="00000016" w:usb3="00000000" w:csb0="00040001" w:csb1="00000000"/>
    <w:embedRegular r:id="rId4" w:fontKey="{99798D37-0FEE-4B5E-9E5E-6A095726BA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0EF5BA2"/>
    <w:rsid w:val="04E13A54"/>
    <w:rsid w:val="05962A91"/>
    <w:rsid w:val="086E1F06"/>
    <w:rsid w:val="0CA43CE5"/>
    <w:rsid w:val="0E2A021A"/>
    <w:rsid w:val="1025513D"/>
    <w:rsid w:val="10BC6D78"/>
    <w:rsid w:val="1257797F"/>
    <w:rsid w:val="17FD3EBC"/>
    <w:rsid w:val="190E1097"/>
    <w:rsid w:val="1A5E5017"/>
    <w:rsid w:val="1ADF6AB5"/>
    <w:rsid w:val="1BFD51C0"/>
    <w:rsid w:val="226A7915"/>
    <w:rsid w:val="23151041"/>
    <w:rsid w:val="2366189C"/>
    <w:rsid w:val="26D92042"/>
    <w:rsid w:val="27515FF4"/>
    <w:rsid w:val="28784A66"/>
    <w:rsid w:val="2AB4113F"/>
    <w:rsid w:val="2E082761"/>
    <w:rsid w:val="308E2433"/>
    <w:rsid w:val="31A32584"/>
    <w:rsid w:val="321921D0"/>
    <w:rsid w:val="322D58DE"/>
    <w:rsid w:val="334118E3"/>
    <w:rsid w:val="335C290A"/>
    <w:rsid w:val="38E2156D"/>
    <w:rsid w:val="38FB0E20"/>
    <w:rsid w:val="39801CE6"/>
    <w:rsid w:val="3D427E86"/>
    <w:rsid w:val="3F480480"/>
    <w:rsid w:val="41622440"/>
    <w:rsid w:val="41894F15"/>
    <w:rsid w:val="434075BC"/>
    <w:rsid w:val="43484685"/>
    <w:rsid w:val="461C49C2"/>
    <w:rsid w:val="47CA7D9C"/>
    <w:rsid w:val="49A77713"/>
    <w:rsid w:val="4AA523FB"/>
    <w:rsid w:val="4AC779BE"/>
    <w:rsid w:val="4B3F4D0D"/>
    <w:rsid w:val="4D3161C8"/>
    <w:rsid w:val="4DE1199C"/>
    <w:rsid w:val="4E3D0D71"/>
    <w:rsid w:val="4E861663"/>
    <w:rsid w:val="53B03719"/>
    <w:rsid w:val="5AD3784B"/>
    <w:rsid w:val="5DCD3CEB"/>
    <w:rsid w:val="5F065C8C"/>
    <w:rsid w:val="639D4191"/>
    <w:rsid w:val="64EA7E12"/>
    <w:rsid w:val="6938470E"/>
    <w:rsid w:val="69E45CEA"/>
    <w:rsid w:val="6F5E0C47"/>
    <w:rsid w:val="706E310B"/>
    <w:rsid w:val="719016B6"/>
    <w:rsid w:val="71B92605"/>
    <w:rsid w:val="72556331"/>
    <w:rsid w:val="76612DCA"/>
    <w:rsid w:val="791C6F78"/>
    <w:rsid w:val="79F91C98"/>
    <w:rsid w:val="7B5353D8"/>
    <w:rsid w:val="7C576428"/>
    <w:rsid w:val="7D8E1852"/>
    <w:rsid w:val="7E6D417C"/>
    <w:rsid w:val="7FAF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783</Words>
  <Characters>939</Characters>
  <Lines>0</Lines>
  <Paragraphs>0</Paragraphs>
  <TotalTime>83</TotalTime>
  <ScaleCrop>false</ScaleCrop>
  <LinksUpToDate>false</LinksUpToDate>
  <CharactersWithSpaces>1020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2025-08-08T02:57:32Z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